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0"/>
        <w:gridCol w:w="2515"/>
        <w:gridCol w:w="3315"/>
      </w:tblGrid>
      <w:tr w:rsidR="00C06952" w:rsidTr="00EB2518">
        <w:tc>
          <w:tcPr>
            <w:tcW w:w="3770" w:type="dxa"/>
            <w:tcBorders>
              <w:bottom w:val="double" w:sz="1" w:space="0" w:color="000000"/>
            </w:tcBorders>
            <w:shd w:val="clear" w:color="auto" w:fill="auto"/>
          </w:tcPr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Российская Федерация</w:t>
            </w: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Республика Адыгея </w:t>
            </w: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«Тимирязевское сельское поселение»</w:t>
            </w: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385746, </w:t>
            </w:r>
            <w:proofErr w:type="spellStart"/>
            <w:r>
              <w:rPr>
                <w:b/>
                <w:sz w:val="18"/>
                <w:szCs w:val="18"/>
              </w:rPr>
              <w:t>п.Тимирязева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C06952" w:rsidRDefault="00C06952" w:rsidP="00EB2518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ул.Садовая</w:t>
            </w:r>
            <w:proofErr w:type="spellEnd"/>
            <w:r>
              <w:rPr>
                <w:b/>
                <w:sz w:val="18"/>
                <w:szCs w:val="18"/>
              </w:rPr>
              <w:t>, 14</w:t>
            </w:r>
          </w:p>
        </w:tc>
        <w:tc>
          <w:tcPr>
            <w:tcW w:w="2515" w:type="dxa"/>
            <w:tcBorders>
              <w:bottom w:val="double" w:sz="1" w:space="0" w:color="000000"/>
            </w:tcBorders>
            <w:shd w:val="clear" w:color="auto" w:fill="auto"/>
          </w:tcPr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1870" cy="8007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00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315" w:type="dxa"/>
            <w:tcBorders>
              <w:bottom w:val="double" w:sz="1" w:space="0" w:color="000000"/>
            </w:tcBorders>
            <w:shd w:val="clear" w:color="auto" w:fill="auto"/>
          </w:tcPr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Урысые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Федерациер</w:t>
            </w:r>
            <w:proofErr w:type="spellEnd"/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Адыгэ</w:t>
            </w:r>
            <w:proofErr w:type="spellEnd"/>
            <w:r>
              <w:rPr>
                <w:b/>
                <w:sz w:val="18"/>
                <w:szCs w:val="18"/>
              </w:rPr>
              <w:t xml:space="preserve"> Республик</w:t>
            </w: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Тимирязевскэ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къуадже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псэуп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>I</w:t>
            </w:r>
            <w:r>
              <w:rPr>
                <w:b/>
                <w:sz w:val="18"/>
                <w:szCs w:val="18"/>
              </w:rPr>
              <w:t xml:space="preserve">эм и </w:t>
            </w:r>
            <w:proofErr w:type="spellStart"/>
            <w:r>
              <w:rPr>
                <w:b/>
                <w:sz w:val="18"/>
                <w:szCs w:val="18"/>
              </w:rPr>
              <w:t>гъэсэныгъэ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муниципальнэ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администрациер</w:t>
            </w:r>
            <w:proofErr w:type="spellEnd"/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</w:p>
          <w:p w:rsidR="00C06952" w:rsidRDefault="00C06952" w:rsidP="00EB25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385746, </w:t>
            </w:r>
            <w:proofErr w:type="spellStart"/>
            <w:r>
              <w:rPr>
                <w:b/>
                <w:sz w:val="18"/>
                <w:szCs w:val="18"/>
              </w:rPr>
              <w:t>п.Тимирязевэ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C06952" w:rsidRDefault="00C06952" w:rsidP="00EB2518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ур.Садовэр</w:t>
            </w:r>
            <w:proofErr w:type="spellEnd"/>
            <w:r>
              <w:rPr>
                <w:b/>
                <w:sz w:val="18"/>
                <w:szCs w:val="18"/>
              </w:rPr>
              <w:t>, 14</w:t>
            </w:r>
          </w:p>
        </w:tc>
      </w:tr>
    </w:tbl>
    <w:p w:rsidR="00C06952" w:rsidRDefault="00C06952" w:rsidP="00C06952">
      <w:pPr>
        <w:spacing w:line="200" w:lineRule="atLeast"/>
        <w:jc w:val="both"/>
      </w:pPr>
    </w:p>
    <w:p w:rsidR="00C06952" w:rsidRPr="00D37984" w:rsidRDefault="00C06952" w:rsidP="00B63920">
      <w:pPr>
        <w:jc w:val="center"/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П О С Т А Н О В Л Е Н И Е</w:t>
      </w:r>
    </w:p>
    <w:p w:rsidR="00C06952" w:rsidRPr="00D37984" w:rsidRDefault="00C06952" w:rsidP="00B63920">
      <w:pPr>
        <w:jc w:val="center"/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ГЛАВЫ МУНИЦИПАЛЬНОГО ОБРАЗОВАНИЯ</w:t>
      </w:r>
    </w:p>
    <w:p w:rsidR="00C06952" w:rsidRPr="00D37984" w:rsidRDefault="00C06952" w:rsidP="00B63920">
      <w:pPr>
        <w:jc w:val="center"/>
        <w:rPr>
          <w:b/>
          <w:sz w:val="28"/>
          <w:szCs w:val="28"/>
        </w:rPr>
      </w:pPr>
      <w:r w:rsidRPr="00D37984">
        <w:rPr>
          <w:b/>
          <w:sz w:val="28"/>
          <w:szCs w:val="28"/>
        </w:rPr>
        <w:t>«ТИМИРЯЗЕВСКОЕ СЕЛЬСКОЕ ПОСЕЛЕНИЕ»</w:t>
      </w:r>
    </w:p>
    <w:p w:rsidR="00C06952" w:rsidRPr="00D37984" w:rsidRDefault="00C06952" w:rsidP="00B63920">
      <w:pPr>
        <w:pStyle w:val="a3"/>
        <w:rPr>
          <w:b/>
          <w:szCs w:val="28"/>
        </w:rPr>
      </w:pPr>
    </w:p>
    <w:p w:rsidR="00C06952" w:rsidRPr="00D37984" w:rsidRDefault="00D37984" w:rsidP="00B63920">
      <w:pPr>
        <w:rPr>
          <w:sz w:val="28"/>
          <w:szCs w:val="28"/>
        </w:rPr>
      </w:pPr>
      <w:r w:rsidRPr="00D37984">
        <w:rPr>
          <w:b/>
          <w:sz w:val="28"/>
          <w:szCs w:val="28"/>
          <w:u w:val="single"/>
        </w:rPr>
        <w:t>06</w:t>
      </w:r>
      <w:r w:rsidR="00C06952" w:rsidRPr="00D37984">
        <w:rPr>
          <w:b/>
          <w:sz w:val="28"/>
          <w:szCs w:val="28"/>
          <w:u w:val="single"/>
        </w:rPr>
        <w:t>.0</w:t>
      </w:r>
      <w:r w:rsidR="00B63920" w:rsidRPr="00D37984">
        <w:rPr>
          <w:b/>
          <w:sz w:val="28"/>
          <w:szCs w:val="28"/>
          <w:u w:val="single"/>
        </w:rPr>
        <w:t>7</w:t>
      </w:r>
      <w:r w:rsidR="00C06952" w:rsidRPr="00D37984">
        <w:rPr>
          <w:b/>
          <w:sz w:val="28"/>
          <w:szCs w:val="28"/>
          <w:u w:val="single"/>
        </w:rPr>
        <w:t>. 201</w:t>
      </w:r>
      <w:r w:rsidR="00B63920" w:rsidRPr="00D37984">
        <w:rPr>
          <w:b/>
          <w:sz w:val="28"/>
          <w:szCs w:val="28"/>
          <w:u w:val="single"/>
        </w:rPr>
        <w:t>7</w:t>
      </w:r>
      <w:r w:rsidR="00C06952" w:rsidRPr="00D37984">
        <w:rPr>
          <w:b/>
          <w:sz w:val="28"/>
          <w:szCs w:val="28"/>
          <w:u w:val="single"/>
        </w:rPr>
        <w:t xml:space="preserve"> г.</w:t>
      </w:r>
      <w:r w:rsidR="00C06952" w:rsidRPr="00D37984">
        <w:rPr>
          <w:b/>
          <w:sz w:val="28"/>
          <w:szCs w:val="28"/>
        </w:rPr>
        <w:t xml:space="preserve">                               </w:t>
      </w:r>
      <w:r w:rsidR="006F5362" w:rsidRPr="00D37984">
        <w:rPr>
          <w:b/>
          <w:sz w:val="28"/>
          <w:szCs w:val="28"/>
        </w:rPr>
        <w:t xml:space="preserve">                          </w:t>
      </w:r>
      <w:r w:rsidR="00C06952" w:rsidRPr="00D37984">
        <w:rPr>
          <w:b/>
          <w:sz w:val="28"/>
          <w:szCs w:val="28"/>
        </w:rPr>
        <w:t xml:space="preserve">                                                  № </w:t>
      </w:r>
      <w:r w:rsidRPr="00D37984">
        <w:rPr>
          <w:b/>
          <w:sz w:val="28"/>
          <w:szCs w:val="28"/>
        </w:rPr>
        <w:t>37</w:t>
      </w:r>
    </w:p>
    <w:p w:rsidR="00C06952" w:rsidRPr="006F5362" w:rsidRDefault="00C06952" w:rsidP="00B63920">
      <w:pPr>
        <w:jc w:val="both"/>
        <w:rPr>
          <w:sz w:val="24"/>
          <w:szCs w:val="24"/>
        </w:rPr>
      </w:pPr>
      <w:r w:rsidRPr="006F53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-393065</wp:posOffset>
                </wp:positionH>
                <wp:positionV relativeFrom="paragraph">
                  <wp:posOffset>501650</wp:posOffset>
                </wp:positionV>
                <wp:extent cx="209550" cy="1305560"/>
                <wp:effectExtent l="12700" t="10795" r="635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30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952" w:rsidRDefault="00C06952" w:rsidP="00C0695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95pt;margin-top:39.5pt;width:16.5pt;height:10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UJPAIAAFYEAAAOAAAAZHJzL2Uyb0RvYy54bWysVEtu2zAQ3RfoHQjua8lObNiC5SB16qJA&#10;+gHSHoCiKIkoxWFJ2lK66z5X6B266KK7XsG5UYeU4xrpLqgWBIczfJx5b0bLi75VZCesk6BzOh6l&#10;lAjNoZS6zumnj5sXc0qcZ7pkCrTI6a1w9GL1/NmyM5mYQAOqFJYgiHZZZ3LaeG+yJHG8ES1zIzBC&#10;o7MC2zKPpq2T0rIO0VuVTNJ0lnRgS2OBC+fw9Gpw0lXEryrB/fuqcsITlVPMzcfVxrUIa7Jasqy2&#10;zDSSH9JgT8iiZVLjo0eoK+YZ2Vr5D1QruQUHlR9xaBOoKslFrAGrGaePqrlpmBGxFiTHmSNN7v/B&#10;8ne7D5bIMqcTSjRrUaL99/2P/c/97/2v+2/3d2QSOOqMyzD0xmCw719Cj1rHep25Bv7ZEQ3rhula&#10;XFoLXSNYiTmOw83k5OqA4wJI0b2FEh9jWw8RqK9sGwhESgiio1a3R31E7wnHw0m6mE7Rw9E1Pkun&#10;01kUMGHZw21jnX8toCVhk1OL+kd0trt2PmTDsoeQ8JgDJcuNVCoati7WypIdw17ZxC8W8ChMadLl&#10;dHaGiTwVopUem17JNqfzNHxDGwbaXukytqRnUg17TFnpA4+BuoFE3xf9QZcCyltk1MLQ3DiMuGnA&#10;fqWkw8bOqfuyZVZQot5oVGVxPhtPcRKicT6fL9Cwp57i1MM0R6icekqG7doP07M1VtYNvjT0gYZL&#10;VLKSkeQg+ZDVIW9s3sj9YdDCdJzaMerv72D1BwAA//8DAFBLAwQUAAYACAAAACEAn77OQ+AAAAAK&#10;AQAADwAAAGRycy9kb3ducmV2LnhtbEyPwU7DMAyG70i8Q+RJ3Lq0FerarumEQJvECdiAc9ZkbdXG&#10;iZpsK2+PObGj7U+/v7/azGZkFz353qKAZBkD09hY1WMr4POwjXJgPkhUcrSoBfxoD5v6/q6SpbJX&#10;/NCXfWgZhaAvpYAuBFdy7ptOG+mX1mmk28lORgYap5arSV4p3Iw8jeOMG9kjfeik08+dbob92Qj4&#10;dsPL16pwFrfJ2+H9dWf8adgJ8bCYn9bAgp7DPwx/+qQONTkd7RmVZ6OAKEsKQgWsCupEQJTmtDgK&#10;SPPHDHhd8dsK9S8AAAD//wMAUEsBAi0AFAAGAAgAAAAhALaDOJL+AAAA4QEAABMAAAAAAAAAAAAA&#10;AAAAAAAAAFtDb250ZW50X1R5cGVzXS54bWxQSwECLQAUAAYACAAAACEAOP0h/9YAAACUAQAACwAA&#10;AAAAAAAAAAAAAAAvAQAAX3JlbHMvLnJlbHNQSwECLQAUAAYACAAAACEAvs71CTwCAABWBAAADgAA&#10;AAAAAAAAAAAAAAAuAgAAZHJzL2Uyb0RvYy54bWxQSwECLQAUAAYACAAAACEAn77OQ+AAAAAKAQAA&#10;DwAAAAAAAAAAAAAAAACWBAAAZHJzL2Rvd25yZXYueG1sUEsFBgAAAAAEAAQA8wAAAKMFAAAAAA==&#10;" strokecolor="white" strokeweight=".5pt">
                <v:textbox inset="7.45pt,3.85pt,7.45pt,3.85pt">
                  <w:txbxContent>
                    <w:p w:rsidR="00C06952" w:rsidRDefault="00C06952" w:rsidP="00C06952"/>
                  </w:txbxContent>
                </v:textbox>
              </v:shape>
            </w:pict>
          </mc:Fallback>
        </mc:AlternateContent>
      </w:r>
    </w:p>
    <w:p w:rsidR="00B63920" w:rsidRPr="006F5362" w:rsidRDefault="00B63920" w:rsidP="00B63920">
      <w:pPr>
        <w:ind w:right="5669"/>
        <w:jc w:val="both"/>
        <w:rPr>
          <w:bCs/>
          <w:sz w:val="24"/>
          <w:szCs w:val="24"/>
        </w:rPr>
      </w:pPr>
      <w:r w:rsidRPr="006F5362">
        <w:rPr>
          <w:bCs/>
          <w:sz w:val="24"/>
          <w:szCs w:val="24"/>
        </w:rPr>
        <w:t>«Об утверждении Порядка общественного обсуждения проекта муниципальной программы «Формирование современной городской среды» на территории муниципального образования «Тимирязевское сельское поселение»</w:t>
      </w:r>
      <w:r w:rsidR="008230C8">
        <w:rPr>
          <w:bCs/>
          <w:sz w:val="24"/>
          <w:szCs w:val="24"/>
        </w:rPr>
        <w:t xml:space="preserve"> </w:t>
      </w:r>
      <w:r w:rsidRPr="006F5362">
        <w:rPr>
          <w:bCs/>
          <w:sz w:val="24"/>
          <w:szCs w:val="24"/>
        </w:rPr>
        <w:t>на 2018-2022 года в рамках реализации проекта «Формирование комфортной городской среды»</w:t>
      </w:r>
    </w:p>
    <w:p w:rsidR="00B63920" w:rsidRPr="006F5362" w:rsidRDefault="00B63920" w:rsidP="00B63920">
      <w:pPr>
        <w:pStyle w:val="a3"/>
        <w:rPr>
          <w:b/>
          <w:sz w:val="24"/>
          <w:szCs w:val="24"/>
        </w:rPr>
      </w:pPr>
    </w:p>
    <w:p w:rsidR="00B63920" w:rsidRPr="006F5362" w:rsidRDefault="00B63920" w:rsidP="00B63920">
      <w:pPr>
        <w:jc w:val="both"/>
        <w:rPr>
          <w:bCs/>
          <w:sz w:val="24"/>
          <w:szCs w:val="24"/>
        </w:rPr>
      </w:pPr>
      <w:r w:rsidRPr="006F5362">
        <w:rPr>
          <w:bCs/>
          <w:sz w:val="24"/>
          <w:szCs w:val="24"/>
        </w:rPr>
        <w:tab/>
        <w:t xml:space="preserve">В целях реализации в 2018-2022 годах на территории муниципального образования «Тимирязевское сельское поселение» Майкопского района Республики Адыгея приоритетного проекта «Формирование комфортной городской среды», в соответствии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«Тимирязевское сельское поселение» </w:t>
      </w:r>
    </w:p>
    <w:p w:rsidR="00C06952" w:rsidRPr="006F5362" w:rsidRDefault="00C06952" w:rsidP="00B63920">
      <w:pPr>
        <w:pStyle w:val="a3"/>
        <w:rPr>
          <w:sz w:val="24"/>
          <w:szCs w:val="24"/>
        </w:rPr>
      </w:pPr>
    </w:p>
    <w:p w:rsidR="00C06952" w:rsidRPr="006F5362" w:rsidRDefault="00C06952" w:rsidP="00B63920">
      <w:pPr>
        <w:jc w:val="center"/>
        <w:rPr>
          <w:sz w:val="24"/>
          <w:szCs w:val="24"/>
        </w:rPr>
      </w:pPr>
      <w:r w:rsidRPr="006F5362">
        <w:rPr>
          <w:sz w:val="24"/>
          <w:szCs w:val="24"/>
        </w:rPr>
        <w:t>ПОСТАНОВЛЯЮ:</w:t>
      </w:r>
    </w:p>
    <w:p w:rsidR="00C06952" w:rsidRPr="006F5362" w:rsidRDefault="00C06952" w:rsidP="00B63920">
      <w:pPr>
        <w:jc w:val="center"/>
        <w:rPr>
          <w:sz w:val="24"/>
          <w:szCs w:val="24"/>
        </w:rPr>
      </w:pPr>
    </w:p>
    <w:p w:rsidR="00B63920" w:rsidRPr="006F5362" w:rsidRDefault="00B63920" w:rsidP="00B63920">
      <w:pPr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jc w:val="both"/>
        <w:rPr>
          <w:bCs/>
          <w:sz w:val="24"/>
          <w:szCs w:val="24"/>
        </w:rPr>
      </w:pPr>
      <w:r w:rsidRPr="006F5362">
        <w:rPr>
          <w:bCs/>
          <w:sz w:val="24"/>
          <w:szCs w:val="24"/>
        </w:rPr>
        <w:t>Утвердить Порядок обсуждения проекта муниципальной программы «Формирование современной городской среды» на территории муниципального образования «Тимирязевское сельское поселение» на 2018-2022 годы, в рамках реализации проекта «Формирование комфортной городской среды» (Приложение).</w:t>
      </w:r>
    </w:p>
    <w:p w:rsidR="00B63920" w:rsidRPr="006F5362" w:rsidRDefault="00B63920" w:rsidP="00B63920">
      <w:pPr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rPr>
          <w:bCs/>
          <w:sz w:val="24"/>
          <w:szCs w:val="24"/>
        </w:rPr>
      </w:pPr>
      <w:r w:rsidRPr="006F5362">
        <w:rPr>
          <w:bCs/>
          <w:sz w:val="24"/>
          <w:szCs w:val="24"/>
        </w:rPr>
        <w:t>Настоящее постановление с приложениями разместить на официальном сайте администрации муниципального образования «Тимирязевское сельское поселение».</w:t>
      </w:r>
    </w:p>
    <w:p w:rsidR="00B63920" w:rsidRPr="006F5362" w:rsidRDefault="00B63920" w:rsidP="00B63920">
      <w:pPr>
        <w:numPr>
          <w:ilvl w:val="0"/>
          <w:numId w:val="1"/>
        </w:numPr>
        <w:tabs>
          <w:tab w:val="clear" w:pos="720"/>
        </w:tabs>
        <w:suppressAutoHyphens w:val="0"/>
        <w:ind w:left="426" w:hanging="426"/>
        <w:rPr>
          <w:bCs/>
          <w:sz w:val="24"/>
          <w:szCs w:val="24"/>
        </w:rPr>
      </w:pPr>
      <w:r w:rsidRPr="006F5362">
        <w:rPr>
          <w:bCs/>
          <w:sz w:val="24"/>
          <w:szCs w:val="24"/>
        </w:rPr>
        <w:t>Контроль исполнения данного постановлению оставляю за собой.</w:t>
      </w:r>
    </w:p>
    <w:p w:rsidR="00C06952" w:rsidRPr="006F5362" w:rsidRDefault="00C06952" w:rsidP="00B63920">
      <w:pPr>
        <w:ind w:left="426" w:hanging="426"/>
        <w:jc w:val="both"/>
        <w:rPr>
          <w:bCs/>
          <w:sz w:val="24"/>
          <w:szCs w:val="24"/>
          <w:u w:val="single"/>
        </w:rPr>
      </w:pPr>
    </w:p>
    <w:p w:rsidR="00C06952" w:rsidRPr="006F5362" w:rsidRDefault="00C06952" w:rsidP="00B63920">
      <w:pPr>
        <w:pStyle w:val="a3"/>
        <w:rPr>
          <w:sz w:val="24"/>
          <w:szCs w:val="24"/>
          <w:u w:val="single"/>
        </w:rPr>
      </w:pPr>
      <w:r w:rsidRPr="006F5362">
        <w:rPr>
          <w:b/>
          <w:bCs/>
          <w:sz w:val="24"/>
          <w:szCs w:val="24"/>
          <w:u w:val="single"/>
        </w:rPr>
        <w:t xml:space="preserve">Глава муниципального образования                                  </w:t>
      </w:r>
      <w:r w:rsidR="006F5362">
        <w:rPr>
          <w:b/>
          <w:bCs/>
          <w:sz w:val="24"/>
          <w:szCs w:val="24"/>
          <w:u w:val="single"/>
        </w:rPr>
        <w:t xml:space="preserve">                     </w:t>
      </w:r>
      <w:r w:rsidRPr="006F5362">
        <w:rPr>
          <w:b/>
          <w:bCs/>
          <w:sz w:val="24"/>
          <w:szCs w:val="24"/>
          <w:u w:val="single"/>
        </w:rPr>
        <w:t xml:space="preserve">                       О.А. Калинина</w:t>
      </w:r>
    </w:p>
    <w:p w:rsidR="00C06952" w:rsidRPr="006F5362" w:rsidRDefault="00C06952" w:rsidP="00B63920">
      <w:pPr>
        <w:jc w:val="both"/>
        <w:rPr>
          <w:sz w:val="24"/>
          <w:szCs w:val="24"/>
          <w:u w:val="single"/>
        </w:rPr>
      </w:pPr>
    </w:p>
    <w:p w:rsidR="00C06952" w:rsidRPr="006F5362" w:rsidRDefault="00C06952" w:rsidP="00B63920">
      <w:pPr>
        <w:jc w:val="both"/>
        <w:rPr>
          <w:sz w:val="24"/>
          <w:szCs w:val="24"/>
          <w:u w:val="single"/>
        </w:rPr>
      </w:pPr>
    </w:p>
    <w:p w:rsidR="00C06952" w:rsidRPr="006F5362" w:rsidRDefault="00C06952" w:rsidP="00B63920">
      <w:pPr>
        <w:jc w:val="both"/>
        <w:rPr>
          <w:sz w:val="24"/>
          <w:szCs w:val="24"/>
        </w:rPr>
      </w:pPr>
      <w:r w:rsidRPr="006F5362">
        <w:rPr>
          <w:b/>
          <w:bCs/>
          <w:sz w:val="24"/>
          <w:szCs w:val="24"/>
        </w:rPr>
        <w:t>подготовил:</w:t>
      </w:r>
    </w:p>
    <w:p w:rsidR="006F5362" w:rsidRDefault="006F5362" w:rsidP="00B639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1 категории по благоустройству и ЖКХ </w:t>
      </w:r>
      <w:r w:rsidR="00C06952" w:rsidRPr="006F5362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</w:t>
      </w:r>
      <w:r w:rsidR="00C06952" w:rsidRPr="006F5362">
        <w:rPr>
          <w:sz w:val="24"/>
          <w:szCs w:val="24"/>
        </w:rPr>
        <w:t xml:space="preserve">       В.В. </w:t>
      </w:r>
      <w:proofErr w:type="spellStart"/>
      <w:r>
        <w:rPr>
          <w:sz w:val="24"/>
          <w:szCs w:val="24"/>
        </w:rPr>
        <w:t>Якимцов</w:t>
      </w:r>
      <w:proofErr w:type="spellEnd"/>
    </w:p>
    <w:p w:rsidR="006F5362" w:rsidRDefault="006F5362" w:rsidP="00B63920">
      <w:pPr>
        <w:jc w:val="both"/>
        <w:rPr>
          <w:b/>
          <w:bCs/>
          <w:sz w:val="24"/>
          <w:szCs w:val="24"/>
        </w:rPr>
      </w:pPr>
    </w:p>
    <w:p w:rsidR="00C06952" w:rsidRPr="006F5362" w:rsidRDefault="00C06952" w:rsidP="00B63920">
      <w:pPr>
        <w:jc w:val="both"/>
        <w:rPr>
          <w:sz w:val="24"/>
          <w:szCs w:val="24"/>
        </w:rPr>
      </w:pPr>
      <w:r w:rsidRPr="006F5362">
        <w:rPr>
          <w:b/>
          <w:bCs/>
          <w:sz w:val="24"/>
          <w:szCs w:val="24"/>
        </w:rPr>
        <w:t>согласовано:</w:t>
      </w:r>
    </w:p>
    <w:p w:rsidR="006F5362" w:rsidRDefault="006F5362" w:rsidP="00B63920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Правовая и антикоррупционная экспертиза проведена</w:t>
      </w:r>
    </w:p>
    <w:p w:rsidR="006F5362" w:rsidRDefault="006F5362" w:rsidP="00B63920">
      <w:pPr>
        <w:jc w:val="both"/>
        <w:rPr>
          <w:sz w:val="28"/>
          <w:szCs w:val="28"/>
        </w:rPr>
      </w:pPr>
      <w:r>
        <w:rPr>
          <w:sz w:val="24"/>
          <w:szCs w:val="24"/>
        </w:rPr>
        <w:t>Г</w:t>
      </w:r>
      <w:r w:rsidR="00C06952" w:rsidRPr="006F5362">
        <w:rPr>
          <w:sz w:val="24"/>
          <w:szCs w:val="24"/>
        </w:rPr>
        <w:t xml:space="preserve">лавный специалист по правовым вопросам                                             </w:t>
      </w:r>
      <w:r>
        <w:rPr>
          <w:sz w:val="24"/>
          <w:szCs w:val="24"/>
        </w:rPr>
        <w:t xml:space="preserve">               </w:t>
      </w:r>
      <w:r w:rsidR="00C06952" w:rsidRPr="006F5362">
        <w:rPr>
          <w:sz w:val="24"/>
          <w:szCs w:val="24"/>
        </w:rPr>
        <w:t xml:space="preserve">       </w:t>
      </w:r>
      <w:r>
        <w:rPr>
          <w:sz w:val="24"/>
          <w:szCs w:val="24"/>
        </w:rPr>
        <w:t>В</w:t>
      </w:r>
      <w:r w:rsidR="00C06952" w:rsidRPr="006F5362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C06952" w:rsidRPr="006F5362">
        <w:rPr>
          <w:sz w:val="24"/>
          <w:szCs w:val="24"/>
        </w:rPr>
        <w:t xml:space="preserve">. </w:t>
      </w:r>
      <w:r>
        <w:rPr>
          <w:sz w:val="24"/>
          <w:szCs w:val="24"/>
        </w:rPr>
        <w:t>Ненлюмкин</w:t>
      </w:r>
    </w:p>
    <w:p w:rsidR="00D37984" w:rsidRDefault="00D37984" w:rsidP="008230C8">
      <w:pPr>
        <w:ind w:left="7230"/>
        <w:rPr>
          <w:bCs/>
        </w:rPr>
      </w:pPr>
    </w:p>
    <w:p w:rsidR="00D37984" w:rsidRDefault="00D37984" w:rsidP="008230C8">
      <w:pPr>
        <w:ind w:left="7230"/>
        <w:rPr>
          <w:bCs/>
        </w:rPr>
      </w:pPr>
    </w:p>
    <w:p w:rsidR="006F5362" w:rsidRPr="008230C8" w:rsidRDefault="006F5362" w:rsidP="008230C8">
      <w:pPr>
        <w:ind w:left="7230"/>
        <w:rPr>
          <w:bCs/>
        </w:rPr>
      </w:pPr>
      <w:r w:rsidRPr="008230C8">
        <w:rPr>
          <w:bCs/>
        </w:rPr>
        <w:lastRenderedPageBreak/>
        <w:t>Приложение</w:t>
      </w:r>
    </w:p>
    <w:p w:rsidR="006F5362" w:rsidRPr="008230C8" w:rsidRDefault="006F5362" w:rsidP="008230C8">
      <w:pPr>
        <w:ind w:left="7230"/>
        <w:rPr>
          <w:bCs/>
        </w:rPr>
      </w:pPr>
      <w:r w:rsidRPr="008230C8">
        <w:rPr>
          <w:bCs/>
        </w:rPr>
        <w:t>УТВЕРЖДЕНО</w:t>
      </w:r>
    </w:p>
    <w:p w:rsidR="006F5362" w:rsidRPr="008230C8" w:rsidRDefault="008230C8" w:rsidP="008230C8">
      <w:pPr>
        <w:ind w:left="7230"/>
        <w:rPr>
          <w:bCs/>
        </w:rPr>
      </w:pPr>
      <w:r>
        <w:rPr>
          <w:bCs/>
        </w:rPr>
        <w:t>П</w:t>
      </w:r>
      <w:r w:rsidR="006F5362" w:rsidRPr="008230C8">
        <w:rPr>
          <w:bCs/>
        </w:rPr>
        <w:t xml:space="preserve">остановлением </w:t>
      </w:r>
      <w:r w:rsidR="00E80A80" w:rsidRPr="008230C8">
        <w:rPr>
          <w:bCs/>
        </w:rPr>
        <w:t xml:space="preserve">Главы МО «Тимирязевское сельское поселение» </w:t>
      </w:r>
      <w:r w:rsidR="006F5362" w:rsidRPr="008230C8">
        <w:rPr>
          <w:bCs/>
        </w:rPr>
        <w:t>от 1</w:t>
      </w:r>
      <w:r w:rsidR="00E80A80" w:rsidRPr="008230C8">
        <w:rPr>
          <w:bCs/>
        </w:rPr>
        <w:t>0</w:t>
      </w:r>
      <w:r w:rsidR="006F5362" w:rsidRPr="008230C8">
        <w:rPr>
          <w:bCs/>
        </w:rPr>
        <w:t>.0</w:t>
      </w:r>
      <w:r w:rsidR="00E80A80" w:rsidRPr="008230C8">
        <w:rPr>
          <w:bCs/>
        </w:rPr>
        <w:t>7</w:t>
      </w:r>
      <w:r w:rsidR="006F5362" w:rsidRPr="008230C8">
        <w:rPr>
          <w:bCs/>
        </w:rPr>
        <w:t xml:space="preserve">.2017г. № </w:t>
      </w:r>
      <w:r w:rsidR="00E80A80" w:rsidRPr="008230C8">
        <w:rPr>
          <w:bCs/>
        </w:rPr>
        <w:t>_</w:t>
      </w:r>
      <w:r w:rsidRPr="008230C8">
        <w:rPr>
          <w:bCs/>
        </w:rPr>
        <w:t>_</w:t>
      </w:r>
      <w:r w:rsidR="00E80A80" w:rsidRPr="008230C8">
        <w:rPr>
          <w:bCs/>
        </w:rPr>
        <w:t>_</w:t>
      </w:r>
    </w:p>
    <w:p w:rsidR="006F5362" w:rsidRPr="008230C8" w:rsidRDefault="006F5362" w:rsidP="006F5362">
      <w:pPr>
        <w:rPr>
          <w:bCs/>
        </w:rPr>
      </w:pPr>
      <w:r w:rsidRPr="008230C8">
        <w:rPr>
          <w:bCs/>
        </w:rPr>
        <w:t> </w:t>
      </w:r>
    </w:p>
    <w:p w:rsidR="006F5362" w:rsidRPr="008230C8" w:rsidRDefault="006F5362" w:rsidP="008230C8">
      <w:pPr>
        <w:jc w:val="center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ПОРЯДОК</w:t>
      </w:r>
    </w:p>
    <w:p w:rsidR="00E80A80" w:rsidRPr="008230C8" w:rsidRDefault="006F5362" w:rsidP="00E80A80">
      <w:pPr>
        <w:jc w:val="center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общественного обсуждения проекта муниципальной программы</w:t>
      </w:r>
      <w:r w:rsidR="00E80A80" w:rsidRPr="008230C8">
        <w:rPr>
          <w:bCs/>
          <w:sz w:val="24"/>
          <w:szCs w:val="24"/>
        </w:rPr>
        <w:t xml:space="preserve"> </w:t>
      </w:r>
      <w:r w:rsidRPr="008230C8">
        <w:rPr>
          <w:bCs/>
          <w:sz w:val="24"/>
          <w:szCs w:val="24"/>
        </w:rPr>
        <w:t>«Формирование современной городской среды»</w:t>
      </w:r>
      <w:r w:rsidR="00E80A80" w:rsidRPr="008230C8">
        <w:rPr>
          <w:bCs/>
          <w:sz w:val="24"/>
          <w:szCs w:val="24"/>
        </w:rPr>
        <w:t xml:space="preserve"> </w:t>
      </w:r>
      <w:r w:rsidRPr="008230C8">
        <w:rPr>
          <w:bCs/>
          <w:sz w:val="24"/>
          <w:szCs w:val="24"/>
        </w:rPr>
        <w:t>на территории муниципального образования</w:t>
      </w:r>
      <w:r w:rsidR="00E80A80" w:rsidRPr="008230C8">
        <w:rPr>
          <w:bCs/>
          <w:sz w:val="24"/>
          <w:szCs w:val="24"/>
        </w:rPr>
        <w:t xml:space="preserve"> «Тимирязевское сельское поселение» Майкопского района </w:t>
      </w:r>
    </w:p>
    <w:p w:rsidR="006F5362" w:rsidRPr="008230C8" w:rsidRDefault="00E80A80" w:rsidP="00E80A80">
      <w:pPr>
        <w:jc w:val="center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Республики Адыгея</w:t>
      </w:r>
      <w:r w:rsidR="006F5362" w:rsidRPr="008230C8">
        <w:rPr>
          <w:bCs/>
          <w:sz w:val="24"/>
          <w:szCs w:val="24"/>
        </w:rPr>
        <w:t xml:space="preserve"> на 2018-2022 года</w:t>
      </w:r>
    </w:p>
    <w:p w:rsidR="006F5362" w:rsidRPr="008230C8" w:rsidRDefault="006F5362" w:rsidP="00E80A80">
      <w:pPr>
        <w:jc w:val="center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в рамках реализации приоритетного проекта</w:t>
      </w:r>
    </w:p>
    <w:p w:rsidR="006F5362" w:rsidRPr="008230C8" w:rsidRDefault="006F5362" w:rsidP="00E80A80">
      <w:pPr>
        <w:jc w:val="center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«Формирование комфортной городской среды»</w:t>
      </w:r>
    </w:p>
    <w:p w:rsidR="006F5362" w:rsidRPr="008230C8" w:rsidRDefault="006F5362" w:rsidP="00E80A80">
      <w:pPr>
        <w:jc w:val="center"/>
        <w:rPr>
          <w:bCs/>
          <w:sz w:val="24"/>
          <w:szCs w:val="24"/>
        </w:rPr>
      </w:pPr>
    </w:p>
    <w:p w:rsidR="006F5362" w:rsidRPr="008230C8" w:rsidRDefault="006F5362" w:rsidP="00E746CF">
      <w:pPr>
        <w:jc w:val="center"/>
        <w:rPr>
          <w:b/>
          <w:bCs/>
          <w:sz w:val="24"/>
          <w:szCs w:val="24"/>
        </w:rPr>
      </w:pPr>
      <w:r w:rsidRPr="008230C8">
        <w:rPr>
          <w:b/>
          <w:bCs/>
          <w:sz w:val="24"/>
          <w:szCs w:val="24"/>
        </w:rPr>
        <w:t>1. Общие положения</w:t>
      </w:r>
    </w:p>
    <w:p w:rsidR="00E80A80" w:rsidRPr="008230C8" w:rsidRDefault="00E80A80" w:rsidP="00E80A80">
      <w:pPr>
        <w:jc w:val="both"/>
        <w:rPr>
          <w:bCs/>
          <w:sz w:val="24"/>
          <w:szCs w:val="24"/>
        </w:rPr>
      </w:pP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1.1. Порядок общественного обсуждения проекта муниципальной программы «Формирование современной городской среды» на территории муниципального образования </w:t>
      </w:r>
      <w:r w:rsidR="00E80A80" w:rsidRPr="008230C8">
        <w:rPr>
          <w:bCs/>
          <w:sz w:val="24"/>
          <w:szCs w:val="24"/>
        </w:rPr>
        <w:t xml:space="preserve">«Тимирязевское сельское поселение» Майкопского района Республики Адыгея </w:t>
      </w:r>
      <w:r w:rsidRPr="008230C8">
        <w:rPr>
          <w:bCs/>
          <w:sz w:val="24"/>
          <w:szCs w:val="24"/>
        </w:rPr>
        <w:t xml:space="preserve">на 2018-2022 годы в рамках реализации приоритетного проекта «Формирование комфортной городской среды» (далее - Порядок) определяет порядок и сроки общественного обсуждения проекта муниципальной программы «Формирование современной городской среды» на территории муниципального образования </w:t>
      </w:r>
      <w:r w:rsidR="00E80A80" w:rsidRPr="008230C8">
        <w:rPr>
          <w:bCs/>
          <w:sz w:val="24"/>
          <w:szCs w:val="24"/>
        </w:rPr>
        <w:t xml:space="preserve">«Тимирязевское сельское поселение» </w:t>
      </w:r>
      <w:r w:rsidR="00E746CF" w:rsidRPr="008230C8">
        <w:rPr>
          <w:bCs/>
          <w:sz w:val="24"/>
          <w:szCs w:val="24"/>
        </w:rPr>
        <w:t xml:space="preserve">Майкопского </w:t>
      </w:r>
      <w:r w:rsidRPr="008230C8">
        <w:rPr>
          <w:bCs/>
          <w:sz w:val="24"/>
          <w:szCs w:val="24"/>
        </w:rPr>
        <w:t xml:space="preserve">района </w:t>
      </w:r>
      <w:r w:rsidR="00E746CF" w:rsidRPr="008230C8">
        <w:rPr>
          <w:bCs/>
          <w:sz w:val="24"/>
          <w:szCs w:val="24"/>
        </w:rPr>
        <w:t xml:space="preserve">Республики Адыгея </w:t>
      </w:r>
      <w:r w:rsidRPr="008230C8">
        <w:rPr>
          <w:bCs/>
          <w:sz w:val="24"/>
          <w:szCs w:val="24"/>
        </w:rPr>
        <w:t>на 2018-2022 годы в рамках реализации приоритетного проекта «Формирование комфортной городской среды» (далее - Программа).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1.2. Организатором общественного обсуждения проекта Программы является администрация </w:t>
      </w:r>
      <w:r w:rsidR="00E746CF" w:rsidRPr="008230C8">
        <w:rPr>
          <w:bCs/>
          <w:sz w:val="24"/>
          <w:szCs w:val="24"/>
        </w:rPr>
        <w:t xml:space="preserve">муниципального образования «Тимирязевское сельское поселение» </w:t>
      </w:r>
      <w:r w:rsidRPr="008230C8">
        <w:rPr>
          <w:bCs/>
          <w:sz w:val="24"/>
          <w:szCs w:val="24"/>
        </w:rPr>
        <w:t>(далее – Организатор).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1.3. В обсуждении проекта Программы принимают участие граждане, проживающие на территории муниципального образования </w:t>
      </w:r>
      <w:r w:rsidR="00E746CF" w:rsidRPr="008230C8">
        <w:rPr>
          <w:bCs/>
          <w:sz w:val="24"/>
          <w:szCs w:val="24"/>
        </w:rPr>
        <w:t xml:space="preserve">«Тимирязевское сельское поселение» Майкопского </w:t>
      </w:r>
      <w:r w:rsidRPr="008230C8">
        <w:rPr>
          <w:bCs/>
          <w:sz w:val="24"/>
          <w:szCs w:val="24"/>
        </w:rPr>
        <w:t xml:space="preserve">района </w:t>
      </w:r>
      <w:r w:rsidR="00E746CF" w:rsidRPr="008230C8">
        <w:rPr>
          <w:bCs/>
          <w:sz w:val="24"/>
          <w:szCs w:val="24"/>
        </w:rPr>
        <w:t xml:space="preserve">Республики Адыгея </w:t>
      </w:r>
      <w:r w:rsidRPr="008230C8">
        <w:rPr>
          <w:bCs/>
          <w:sz w:val="24"/>
          <w:szCs w:val="24"/>
        </w:rPr>
        <w:t xml:space="preserve">и организации, зарегистрированные на территории муниципального образования </w:t>
      </w:r>
      <w:r w:rsidR="00E746CF" w:rsidRPr="008230C8">
        <w:rPr>
          <w:bCs/>
          <w:sz w:val="24"/>
          <w:szCs w:val="24"/>
        </w:rPr>
        <w:t xml:space="preserve">«Тимирязевское сельское поселение» Майкопского </w:t>
      </w:r>
      <w:r w:rsidRPr="008230C8">
        <w:rPr>
          <w:bCs/>
          <w:sz w:val="24"/>
          <w:szCs w:val="24"/>
        </w:rPr>
        <w:t xml:space="preserve">района </w:t>
      </w:r>
      <w:r w:rsidR="00E746CF" w:rsidRPr="008230C8">
        <w:rPr>
          <w:bCs/>
          <w:sz w:val="24"/>
          <w:szCs w:val="24"/>
        </w:rPr>
        <w:t>Республики Адыгея</w:t>
      </w:r>
      <w:r w:rsidRPr="008230C8">
        <w:rPr>
          <w:bCs/>
          <w:sz w:val="24"/>
          <w:szCs w:val="24"/>
        </w:rPr>
        <w:t>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 </w:t>
      </w:r>
    </w:p>
    <w:p w:rsidR="006F5362" w:rsidRPr="008230C8" w:rsidRDefault="006F5362" w:rsidP="00E746CF">
      <w:pPr>
        <w:jc w:val="center"/>
        <w:rPr>
          <w:b/>
          <w:bCs/>
          <w:sz w:val="24"/>
          <w:szCs w:val="24"/>
        </w:rPr>
      </w:pPr>
      <w:r w:rsidRPr="008230C8">
        <w:rPr>
          <w:b/>
          <w:bCs/>
          <w:sz w:val="24"/>
          <w:szCs w:val="24"/>
        </w:rPr>
        <w:t>2. Порядок и сроки общественного обсуждения проекта Программы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2.1. Формой участия граждан, организаций в общественном обсуждении является направление Организатору Предложений по прилагаемой форме № 1.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2.2. Способы подачи предложений: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по адресу: </w:t>
      </w:r>
      <w:r w:rsidR="00E746CF" w:rsidRPr="008230C8">
        <w:rPr>
          <w:bCs/>
          <w:sz w:val="24"/>
          <w:szCs w:val="24"/>
        </w:rPr>
        <w:t>385746</w:t>
      </w:r>
      <w:r w:rsidRPr="008230C8">
        <w:rPr>
          <w:bCs/>
          <w:sz w:val="24"/>
          <w:szCs w:val="24"/>
        </w:rPr>
        <w:t xml:space="preserve">, </w:t>
      </w:r>
      <w:r w:rsidR="00E746CF" w:rsidRPr="008230C8">
        <w:rPr>
          <w:bCs/>
          <w:sz w:val="24"/>
          <w:szCs w:val="24"/>
        </w:rPr>
        <w:t xml:space="preserve">Республика Адыгея, Майкопский </w:t>
      </w:r>
      <w:r w:rsidRPr="008230C8">
        <w:rPr>
          <w:bCs/>
          <w:sz w:val="24"/>
          <w:szCs w:val="24"/>
        </w:rPr>
        <w:t>район, пос.</w:t>
      </w:r>
      <w:r w:rsidR="00E746CF" w:rsidRPr="008230C8">
        <w:rPr>
          <w:bCs/>
          <w:sz w:val="24"/>
          <w:szCs w:val="24"/>
        </w:rPr>
        <w:t xml:space="preserve"> Тимирязева</w:t>
      </w:r>
      <w:r w:rsidRPr="008230C8">
        <w:rPr>
          <w:bCs/>
          <w:sz w:val="24"/>
          <w:szCs w:val="24"/>
        </w:rPr>
        <w:t>, ул.</w:t>
      </w:r>
      <w:r w:rsidR="00E746CF" w:rsidRPr="008230C8">
        <w:rPr>
          <w:bCs/>
          <w:sz w:val="24"/>
          <w:szCs w:val="24"/>
        </w:rPr>
        <w:t xml:space="preserve"> Садовая д. 14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по факсу: 8 (</w:t>
      </w:r>
      <w:r w:rsidR="00E746CF" w:rsidRPr="008230C8">
        <w:rPr>
          <w:bCs/>
          <w:sz w:val="24"/>
          <w:szCs w:val="24"/>
        </w:rPr>
        <w:t>8772</w:t>
      </w:r>
      <w:r w:rsidRPr="008230C8">
        <w:rPr>
          <w:bCs/>
          <w:sz w:val="24"/>
          <w:szCs w:val="24"/>
        </w:rPr>
        <w:t>)</w:t>
      </w:r>
      <w:r w:rsidR="00E746CF" w:rsidRPr="008230C8">
        <w:rPr>
          <w:bCs/>
          <w:sz w:val="24"/>
          <w:szCs w:val="24"/>
        </w:rPr>
        <w:t xml:space="preserve"> 5</w:t>
      </w:r>
      <w:r w:rsidRPr="008230C8">
        <w:rPr>
          <w:bCs/>
          <w:sz w:val="24"/>
          <w:szCs w:val="24"/>
        </w:rPr>
        <w:t>-</w:t>
      </w:r>
      <w:r w:rsidR="00E746CF" w:rsidRPr="008230C8">
        <w:rPr>
          <w:bCs/>
          <w:sz w:val="24"/>
          <w:szCs w:val="24"/>
        </w:rPr>
        <w:t>64</w:t>
      </w:r>
      <w:r w:rsidRPr="008230C8">
        <w:rPr>
          <w:bCs/>
          <w:sz w:val="24"/>
          <w:szCs w:val="24"/>
        </w:rPr>
        <w:t>-</w:t>
      </w:r>
      <w:r w:rsidR="00E746CF" w:rsidRPr="008230C8">
        <w:rPr>
          <w:bCs/>
          <w:sz w:val="24"/>
          <w:szCs w:val="24"/>
        </w:rPr>
        <w:t>38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по электронной почте:</w:t>
      </w:r>
      <w:r w:rsidR="00E746CF" w:rsidRPr="008230C8">
        <w:rPr>
          <w:bCs/>
          <w:sz w:val="24"/>
          <w:szCs w:val="24"/>
        </w:rPr>
        <w:t xml:space="preserve"> timiryazevskoesp@yandex.ru 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2.3. Общественное обсуждение проекта Программы будет осуществляться в срок с </w:t>
      </w:r>
      <w:r w:rsidR="00E746CF" w:rsidRPr="008230C8">
        <w:rPr>
          <w:bCs/>
          <w:sz w:val="24"/>
          <w:szCs w:val="24"/>
        </w:rPr>
        <w:t>1</w:t>
      </w:r>
      <w:r w:rsidR="00512E01" w:rsidRPr="008230C8">
        <w:rPr>
          <w:bCs/>
          <w:sz w:val="24"/>
          <w:szCs w:val="24"/>
        </w:rPr>
        <w:t>5</w:t>
      </w:r>
      <w:r w:rsidRPr="008230C8">
        <w:rPr>
          <w:bCs/>
          <w:sz w:val="24"/>
          <w:szCs w:val="24"/>
        </w:rPr>
        <w:t>.0</w:t>
      </w:r>
      <w:r w:rsidR="00E746CF" w:rsidRPr="008230C8">
        <w:rPr>
          <w:bCs/>
          <w:sz w:val="24"/>
          <w:szCs w:val="24"/>
        </w:rPr>
        <w:t>7</w:t>
      </w:r>
      <w:r w:rsidRPr="008230C8">
        <w:rPr>
          <w:bCs/>
          <w:sz w:val="24"/>
          <w:szCs w:val="24"/>
        </w:rPr>
        <w:t xml:space="preserve">.2017 года по </w:t>
      </w:r>
      <w:r w:rsidR="00512E01" w:rsidRPr="008230C8">
        <w:rPr>
          <w:bCs/>
          <w:sz w:val="24"/>
          <w:szCs w:val="24"/>
        </w:rPr>
        <w:t>31</w:t>
      </w:r>
      <w:r w:rsidRPr="008230C8">
        <w:rPr>
          <w:bCs/>
          <w:sz w:val="24"/>
          <w:szCs w:val="24"/>
        </w:rPr>
        <w:t>.0</w:t>
      </w:r>
      <w:r w:rsidR="00512E01" w:rsidRPr="008230C8">
        <w:rPr>
          <w:bCs/>
          <w:sz w:val="24"/>
          <w:szCs w:val="24"/>
        </w:rPr>
        <w:t>7</w:t>
      </w:r>
      <w:r w:rsidRPr="008230C8">
        <w:rPr>
          <w:bCs/>
          <w:sz w:val="24"/>
          <w:szCs w:val="24"/>
        </w:rPr>
        <w:t>.2017 года.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2.4. Для обобщения и оценки Предложений от участников общественного обсуждения проекта Программы создается общественная комиссия, состоящая из представителей органов местного самоуправления, политических партий, движений, общественных организаций. Состав общественной комиссии утверждается распоряжением </w:t>
      </w:r>
      <w:r w:rsidR="00512E01" w:rsidRPr="008230C8">
        <w:rPr>
          <w:bCs/>
          <w:sz w:val="24"/>
          <w:szCs w:val="24"/>
        </w:rPr>
        <w:t>главы МО «Тимирязевское сельское поселение»</w:t>
      </w:r>
      <w:r w:rsidRPr="008230C8">
        <w:rPr>
          <w:bCs/>
          <w:sz w:val="24"/>
          <w:szCs w:val="24"/>
        </w:rPr>
        <w:t>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2.5. Предложения, поступающие Организатору, подлежат обязательной регистрации.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2.6. Предложения,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2.7.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2.8.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lastRenderedPageBreak/>
        <w:t>2.9. Решение комиссии принимается открытым голосованием простым большинством голосов от состава общественной комиссии, присутствующего на заседании.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2.10. По итогам заседания общественной комиссии готовиться Заключение, которое содержит следующую информацию:</w:t>
      </w:r>
    </w:p>
    <w:p w:rsidR="006F5362" w:rsidRPr="008230C8" w:rsidRDefault="006F5362" w:rsidP="00512E01">
      <w:pPr>
        <w:tabs>
          <w:tab w:val="left" w:pos="284"/>
        </w:tabs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-</w:t>
      </w:r>
      <w:r w:rsidR="007D74F1" w:rsidRPr="008230C8">
        <w:rPr>
          <w:bCs/>
          <w:sz w:val="24"/>
          <w:szCs w:val="24"/>
        </w:rPr>
        <w:t xml:space="preserve"> </w:t>
      </w:r>
      <w:r w:rsidRPr="008230C8">
        <w:rPr>
          <w:bCs/>
          <w:sz w:val="24"/>
          <w:szCs w:val="24"/>
        </w:rPr>
        <w:t>общее количество поступивших Предложений;</w:t>
      </w:r>
    </w:p>
    <w:p w:rsidR="006F5362" w:rsidRPr="008230C8" w:rsidRDefault="007D74F1" w:rsidP="00512E01">
      <w:pPr>
        <w:tabs>
          <w:tab w:val="left" w:pos="284"/>
        </w:tabs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- </w:t>
      </w:r>
      <w:r w:rsidR="006F5362" w:rsidRPr="008230C8">
        <w:rPr>
          <w:bCs/>
          <w:sz w:val="24"/>
          <w:szCs w:val="24"/>
        </w:rPr>
        <w:t>количество и содержание поступивших Предложений оставленных без рассмотрения;</w:t>
      </w:r>
    </w:p>
    <w:p w:rsidR="006F5362" w:rsidRPr="008230C8" w:rsidRDefault="006F5362" w:rsidP="00512E01">
      <w:pPr>
        <w:tabs>
          <w:tab w:val="left" w:pos="284"/>
        </w:tabs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- содержание Предложений рекомендуемых к отклонению;</w:t>
      </w:r>
    </w:p>
    <w:p w:rsidR="006F5362" w:rsidRPr="008230C8" w:rsidRDefault="006F5362" w:rsidP="00512E01">
      <w:pPr>
        <w:tabs>
          <w:tab w:val="left" w:pos="284"/>
        </w:tabs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- содержание Предложений рекомендуемых для одобрения.</w:t>
      </w:r>
    </w:p>
    <w:p w:rsidR="006F5362" w:rsidRPr="008230C8" w:rsidRDefault="006F5362" w:rsidP="00512E01">
      <w:pPr>
        <w:tabs>
          <w:tab w:val="left" w:pos="284"/>
        </w:tabs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Заключение общественной комиссии оформляется в течение трех рабочих дней после её заседания. Заключение подписывается председателем и секретарем общественной комиссии. Заключение заседания общественной комиссии размещается на интернет-сайте администрации </w:t>
      </w:r>
      <w:r w:rsidR="007D74F1" w:rsidRPr="008230C8">
        <w:rPr>
          <w:bCs/>
          <w:sz w:val="24"/>
          <w:szCs w:val="24"/>
        </w:rPr>
        <w:t xml:space="preserve">МО «Тимирязевское </w:t>
      </w:r>
      <w:r w:rsidRPr="008230C8">
        <w:rPr>
          <w:bCs/>
          <w:sz w:val="24"/>
          <w:szCs w:val="24"/>
        </w:rPr>
        <w:t>сельского поселения</w:t>
      </w:r>
      <w:r w:rsidR="007D74F1" w:rsidRPr="008230C8">
        <w:rPr>
          <w:bCs/>
          <w:sz w:val="24"/>
          <w:szCs w:val="24"/>
        </w:rPr>
        <w:t>»</w:t>
      </w:r>
      <w:r w:rsidRPr="008230C8">
        <w:rPr>
          <w:bCs/>
          <w:sz w:val="24"/>
          <w:szCs w:val="24"/>
        </w:rPr>
        <w:t xml:space="preserve"> в течение трех рабочих дней после её заседания.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2.11. На основании заключения общественной комиссии осуществляется включение Предложений в Программу на 2018-2022 годы.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2.12. Представителям заинтересованных лиц направляются в письменном виде по адресу, указанному в Предложении, уведомления о результатах рассмотрения Предложений. Уведомления направляются в течение 5 рабочих дней после заседания общественной комиссии.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2.13. Представители заинтересованных лиц (инициативная группа) уполномоченные на представление предложений, согласование дизайн-проекта, а также на участие в контроле, в том числе промежуточном, и приемке работ, вправе участвовать в заседании общественной комиссии.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 </w:t>
      </w:r>
    </w:p>
    <w:p w:rsidR="006F5362" w:rsidRPr="008230C8" w:rsidRDefault="006F5362" w:rsidP="007D74F1">
      <w:pPr>
        <w:jc w:val="center"/>
        <w:rPr>
          <w:b/>
          <w:bCs/>
          <w:sz w:val="24"/>
          <w:szCs w:val="24"/>
        </w:rPr>
      </w:pPr>
      <w:r w:rsidRPr="008230C8">
        <w:rPr>
          <w:b/>
          <w:bCs/>
          <w:sz w:val="24"/>
          <w:szCs w:val="24"/>
        </w:rPr>
        <w:t>3. Заключительные положения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 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3.1. Настоящий Порядок не имеет обратной силы и распространяет свое действие на правоотношения, возникшие после утверждения настоящего Порядка.</w:t>
      </w:r>
    </w:p>
    <w:p w:rsidR="006F5362" w:rsidRPr="008230C8" w:rsidRDefault="006F5362" w:rsidP="00E80A80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3.2. Изменения и дополнения в настоящий Порядок вносятся соответствующим муниципальным правовым актом администрации </w:t>
      </w:r>
      <w:r w:rsidR="007D74F1" w:rsidRPr="008230C8">
        <w:rPr>
          <w:bCs/>
          <w:sz w:val="24"/>
          <w:szCs w:val="24"/>
        </w:rPr>
        <w:t xml:space="preserve">МО «Тимирязевское сельское поселение» Майкопского </w:t>
      </w:r>
      <w:r w:rsidRPr="008230C8">
        <w:rPr>
          <w:bCs/>
          <w:sz w:val="24"/>
          <w:szCs w:val="24"/>
        </w:rPr>
        <w:t xml:space="preserve">района </w:t>
      </w:r>
      <w:r w:rsidR="007D74F1" w:rsidRPr="008230C8">
        <w:rPr>
          <w:bCs/>
          <w:sz w:val="24"/>
          <w:szCs w:val="24"/>
        </w:rPr>
        <w:t>Республики Адыгея.</w:t>
      </w:r>
    </w:p>
    <w:p w:rsidR="008230C8" w:rsidRPr="008230C8" w:rsidRDefault="008230C8" w:rsidP="00E80A80">
      <w:pPr>
        <w:jc w:val="both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  <w:sz w:val="24"/>
          <w:szCs w:val="24"/>
        </w:rPr>
      </w:pPr>
    </w:p>
    <w:p w:rsidR="008230C8" w:rsidRDefault="008230C8" w:rsidP="007D74F1">
      <w:pPr>
        <w:jc w:val="right"/>
        <w:rPr>
          <w:bCs/>
        </w:rPr>
      </w:pPr>
    </w:p>
    <w:p w:rsidR="006F5362" w:rsidRPr="008230C8" w:rsidRDefault="006F5362" w:rsidP="007D74F1">
      <w:pPr>
        <w:jc w:val="right"/>
        <w:rPr>
          <w:bCs/>
        </w:rPr>
      </w:pPr>
      <w:r w:rsidRPr="008230C8">
        <w:rPr>
          <w:bCs/>
        </w:rPr>
        <w:lastRenderedPageBreak/>
        <w:t>Форма № 1</w:t>
      </w:r>
    </w:p>
    <w:p w:rsidR="006F5362" w:rsidRPr="008230C8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 </w:t>
      </w:r>
    </w:p>
    <w:p w:rsidR="006F5362" w:rsidRPr="008230C8" w:rsidRDefault="006F5362" w:rsidP="007D74F1">
      <w:pPr>
        <w:jc w:val="center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ПРЕДЛОЖЕНИЯ</w:t>
      </w:r>
    </w:p>
    <w:p w:rsidR="006F5362" w:rsidRPr="008230C8" w:rsidRDefault="006F5362" w:rsidP="007D74F1">
      <w:pPr>
        <w:jc w:val="center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общественного обсуждения проекта муниципальной программы</w:t>
      </w:r>
      <w:r w:rsidR="007D74F1" w:rsidRPr="008230C8">
        <w:rPr>
          <w:bCs/>
          <w:sz w:val="24"/>
          <w:szCs w:val="24"/>
        </w:rPr>
        <w:t xml:space="preserve"> </w:t>
      </w:r>
      <w:r w:rsidRPr="008230C8">
        <w:rPr>
          <w:bCs/>
          <w:sz w:val="24"/>
          <w:szCs w:val="24"/>
        </w:rPr>
        <w:t>«Формирование современной городской среды»</w:t>
      </w:r>
      <w:r w:rsidR="007D74F1" w:rsidRPr="008230C8">
        <w:rPr>
          <w:bCs/>
          <w:sz w:val="24"/>
          <w:szCs w:val="24"/>
        </w:rPr>
        <w:t xml:space="preserve"> </w:t>
      </w:r>
      <w:r w:rsidRPr="008230C8">
        <w:rPr>
          <w:bCs/>
          <w:sz w:val="24"/>
          <w:szCs w:val="24"/>
        </w:rPr>
        <w:t xml:space="preserve">на территории муниципального образования </w:t>
      </w:r>
      <w:r w:rsidR="007D74F1" w:rsidRPr="008230C8">
        <w:rPr>
          <w:bCs/>
          <w:sz w:val="24"/>
          <w:szCs w:val="24"/>
        </w:rPr>
        <w:t xml:space="preserve">«Тимирязевское сельское поселение» Майкопского </w:t>
      </w:r>
      <w:r w:rsidRPr="008230C8">
        <w:rPr>
          <w:bCs/>
          <w:sz w:val="24"/>
          <w:szCs w:val="24"/>
        </w:rPr>
        <w:t xml:space="preserve">района </w:t>
      </w:r>
      <w:r w:rsidR="007D74F1" w:rsidRPr="008230C8">
        <w:rPr>
          <w:bCs/>
          <w:sz w:val="24"/>
          <w:szCs w:val="24"/>
        </w:rPr>
        <w:t xml:space="preserve">Республики Адыгея </w:t>
      </w:r>
      <w:r w:rsidRPr="008230C8">
        <w:rPr>
          <w:bCs/>
          <w:sz w:val="24"/>
          <w:szCs w:val="24"/>
        </w:rPr>
        <w:t>на 2018-2022 годы</w:t>
      </w:r>
      <w:r w:rsidR="007D74F1" w:rsidRPr="008230C8">
        <w:rPr>
          <w:bCs/>
          <w:sz w:val="24"/>
          <w:szCs w:val="24"/>
        </w:rPr>
        <w:t xml:space="preserve"> </w:t>
      </w:r>
      <w:r w:rsidRPr="008230C8">
        <w:rPr>
          <w:bCs/>
          <w:sz w:val="24"/>
          <w:szCs w:val="24"/>
        </w:rPr>
        <w:t>в рамках приоритетного проекта «Формирование комфортной городской среды»</w:t>
      </w:r>
    </w:p>
    <w:p w:rsidR="006F5362" w:rsidRPr="008230C8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 </w:t>
      </w:r>
    </w:p>
    <w:tbl>
      <w:tblPr>
        <w:tblW w:w="9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3029"/>
        <w:gridCol w:w="3762"/>
        <w:gridCol w:w="2140"/>
      </w:tblGrid>
      <w:tr w:rsidR="006F5362" w:rsidRPr="008230C8" w:rsidTr="00EF153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№</w:t>
            </w:r>
          </w:p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Адресный ориентир</w:t>
            </w:r>
          </w:p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(дворовая территория, наиболее посещаемая муниципальная территория общего пользования)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Содержание предложения</w:t>
            </w:r>
          </w:p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Обоснование</w:t>
            </w:r>
          </w:p>
        </w:tc>
      </w:tr>
      <w:tr w:rsidR="006F5362" w:rsidRPr="008230C8" w:rsidTr="008230C8">
        <w:trPr>
          <w:trHeight w:val="12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F5362" w:rsidRPr="008230C8" w:rsidRDefault="006F5362" w:rsidP="008230C8">
            <w:pPr>
              <w:jc w:val="center"/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F5362" w:rsidRPr="008230C8" w:rsidRDefault="006F5362" w:rsidP="008230C8">
            <w:pPr>
              <w:jc w:val="center"/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F5362" w:rsidRPr="008230C8" w:rsidRDefault="006F5362" w:rsidP="008230C8">
            <w:pPr>
              <w:jc w:val="center"/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F5362" w:rsidRPr="008230C8" w:rsidRDefault="006F5362" w:rsidP="008230C8">
            <w:pPr>
              <w:jc w:val="center"/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4</w:t>
            </w:r>
          </w:p>
        </w:tc>
      </w:tr>
      <w:tr w:rsidR="006F5362" w:rsidRPr="008230C8" w:rsidTr="00EF1530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F5362" w:rsidRPr="008230C8" w:rsidRDefault="006F5362" w:rsidP="00EF1530">
            <w:pPr>
              <w:rPr>
                <w:bCs/>
                <w:sz w:val="24"/>
                <w:szCs w:val="24"/>
              </w:rPr>
            </w:pPr>
            <w:r w:rsidRPr="008230C8">
              <w:rPr>
                <w:bCs/>
                <w:sz w:val="24"/>
                <w:szCs w:val="24"/>
              </w:rPr>
              <w:t> </w:t>
            </w:r>
          </w:p>
        </w:tc>
      </w:tr>
    </w:tbl>
    <w:p w:rsidR="006F5362" w:rsidRPr="008230C8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 </w:t>
      </w:r>
    </w:p>
    <w:p w:rsidR="006F5362" w:rsidRPr="008230C8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</w:t>
      </w:r>
      <w:proofErr w:type="gramStart"/>
      <w:r w:rsidRPr="008230C8">
        <w:rPr>
          <w:bCs/>
          <w:sz w:val="24"/>
          <w:szCs w:val="24"/>
        </w:rPr>
        <w:t>организации)_</w:t>
      </w:r>
      <w:proofErr w:type="gramEnd"/>
      <w:r w:rsidRPr="008230C8">
        <w:rPr>
          <w:bCs/>
          <w:sz w:val="24"/>
          <w:szCs w:val="24"/>
        </w:rPr>
        <w:t>______________________________________________________________</w:t>
      </w:r>
    </w:p>
    <w:p w:rsidR="006F5362" w:rsidRPr="008230C8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_____________________</w:t>
      </w:r>
      <w:r w:rsidR="008230C8">
        <w:rPr>
          <w:bCs/>
          <w:sz w:val="24"/>
          <w:szCs w:val="24"/>
        </w:rPr>
        <w:t>____________</w:t>
      </w:r>
      <w:r w:rsidRPr="008230C8">
        <w:rPr>
          <w:bCs/>
          <w:sz w:val="24"/>
          <w:szCs w:val="24"/>
        </w:rPr>
        <w:t>_______________________</w:t>
      </w:r>
      <w:r w:rsidR="007D74F1" w:rsidRPr="008230C8">
        <w:rPr>
          <w:bCs/>
          <w:sz w:val="24"/>
          <w:szCs w:val="24"/>
        </w:rPr>
        <w:t>____________________________</w:t>
      </w:r>
    </w:p>
    <w:p w:rsidR="006F5362" w:rsidRPr="008230C8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Адрес места жительства</w:t>
      </w:r>
      <w:r w:rsidR="008230C8">
        <w:rPr>
          <w:bCs/>
          <w:sz w:val="24"/>
          <w:szCs w:val="24"/>
        </w:rPr>
        <w:t>________</w:t>
      </w:r>
      <w:r w:rsidRPr="008230C8">
        <w:rPr>
          <w:bCs/>
          <w:sz w:val="24"/>
          <w:szCs w:val="24"/>
        </w:rPr>
        <w:t>____________</w:t>
      </w:r>
      <w:r w:rsidR="008230C8">
        <w:rPr>
          <w:bCs/>
          <w:sz w:val="24"/>
          <w:szCs w:val="24"/>
        </w:rPr>
        <w:t>_</w:t>
      </w:r>
      <w:r w:rsidRPr="008230C8">
        <w:rPr>
          <w:bCs/>
          <w:sz w:val="24"/>
          <w:szCs w:val="24"/>
        </w:rPr>
        <w:t>____________________________</w:t>
      </w:r>
      <w:r w:rsidR="007D74F1" w:rsidRPr="008230C8">
        <w:rPr>
          <w:bCs/>
          <w:sz w:val="24"/>
          <w:szCs w:val="24"/>
        </w:rPr>
        <w:t>_______________</w:t>
      </w:r>
    </w:p>
    <w:p w:rsidR="006F5362" w:rsidRPr="008230C8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_____________________________</w:t>
      </w:r>
      <w:r w:rsidR="008230C8">
        <w:rPr>
          <w:bCs/>
          <w:sz w:val="24"/>
          <w:szCs w:val="24"/>
        </w:rPr>
        <w:t>____________</w:t>
      </w:r>
      <w:r w:rsidRPr="008230C8">
        <w:rPr>
          <w:bCs/>
          <w:sz w:val="24"/>
          <w:szCs w:val="24"/>
        </w:rPr>
        <w:t>_</w:t>
      </w:r>
      <w:r w:rsidR="008230C8">
        <w:rPr>
          <w:bCs/>
          <w:sz w:val="24"/>
          <w:szCs w:val="24"/>
        </w:rPr>
        <w:t>_</w:t>
      </w:r>
      <w:r w:rsidRPr="008230C8">
        <w:rPr>
          <w:bCs/>
          <w:sz w:val="24"/>
          <w:szCs w:val="24"/>
        </w:rPr>
        <w:t>________________</w:t>
      </w:r>
      <w:r w:rsidR="007D74F1" w:rsidRPr="008230C8">
        <w:rPr>
          <w:bCs/>
          <w:sz w:val="24"/>
          <w:szCs w:val="24"/>
        </w:rPr>
        <w:t>__________________________</w:t>
      </w:r>
    </w:p>
    <w:p w:rsidR="006F5362" w:rsidRPr="008230C8" w:rsidRDefault="006F5362" w:rsidP="006F5362">
      <w:pPr>
        <w:rPr>
          <w:bCs/>
          <w:sz w:val="24"/>
          <w:szCs w:val="24"/>
        </w:rPr>
      </w:pPr>
    </w:p>
    <w:p w:rsidR="006F5362" w:rsidRPr="008230C8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 xml:space="preserve">Личная подпись и </w:t>
      </w:r>
      <w:proofErr w:type="gramStart"/>
      <w:r w:rsidRPr="008230C8">
        <w:rPr>
          <w:bCs/>
          <w:sz w:val="24"/>
          <w:szCs w:val="24"/>
        </w:rPr>
        <w:t>дата  _</w:t>
      </w:r>
      <w:proofErr w:type="gramEnd"/>
      <w:r w:rsidRPr="008230C8">
        <w:rPr>
          <w:bCs/>
          <w:sz w:val="24"/>
          <w:szCs w:val="24"/>
        </w:rPr>
        <w:t>__________________________________________________</w:t>
      </w:r>
    </w:p>
    <w:p w:rsidR="006F5362" w:rsidRPr="008230C8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 </w:t>
      </w:r>
    </w:p>
    <w:p w:rsidR="006F5362" w:rsidRPr="008230C8" w:rsidRDefault="007D74F1" w:rsidP="007D74F1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ab/>
      </w:r>
      <w:r w:rsidR="006F5362" w:rsidRPr="008230C8">
        <w:rPr>
          <w:bCs/>
          <w:sz w:val="24"/>
          <w:szCs w:val="24"/>
        </w:rPr>
        <w:t xml:space="preserve">Даю согласие на обработку моих персональных данных в целях рассмотрения и включения предложений в муниципальную программу «Формирование современной городской среды» на территории муниципального образования </w:t>
      </w:r>
      <w:r w:rsidRPr="008230C8">
        <w:rPr>
          <w:bCs/>
          <w:sz w:val="24"/>
          <w:szCs w:val="24"/>
        </w:rPr>
        <w:t xml:space="preserve">Тимирязевское сельское поселение Майкопского </w:t>
      </w:r>
      <w:r w:rsidR="006F5362" w:rsidRPr="008230C8">
        <w:rPr>
          <w:bCs/>
          <w:sz w:val="24"/>
          <w:szCs w:val="24"/>
        </w:rPr>
        <w:t>района на 2018-2022 годы в рамках приоритетного проекта «Формирование комфортной городской среды» в соответствии с действующим законодательством.</w:t>
      </w:r>
    </w:p>
    <w:p w:rsidR="006F5362" w:rsidRPr="008230C8" w:rsidRDefault="007D74F1" w:rsidP="007D74F1">
      <w:pPr>
        <w:jc w:val="both"/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ab/>
      </w:r>
      <w:r w:rsidR="006F5362" w:rsidRPr="008230C8">
        <w:rPr>
          <w:bCs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программу «Формирование современной городской среды» на территории муниципального образования </w:t>
      </w:r>
      <w:r w:rsidRPr="008230C8">
        <w:rPr>
          <w:bCs/>
          <w:sz w:val="24"/>
          <w:szCs w:val="24"/>
        </w:rPr>
        <w:t xml:space="preserve">«Тимирязевское сельское поселение» Майкопского </w:t>
      </w:r>
      <w:r w:rsidR="006F5362" w:rsidRPr="008230C8">
        <w:rPr>
          <w:bCs/>
          <w:sz w:val="24"/>
          <w:szCs w:val="24"/>
        </w:rPr>
        <w:t>района на 2018-2022 годы в рамках приоритетного проекта «Формирование комфортной городской среды» до моего письменного отзыва данного согласия.</w:t>
      </w:r>
    </w:p>
    <w:p w:rsidR="006F5362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 </w:t>
      </w:r>
    </w:p>
    <w:p w:rsidR="008230C8" w:rsidRDefault="008230C8" w:rsidP="006F5362">
      <w:pPr>
        <w:rPr>
          <w:bCs/>
          <w:sz w:val="24"/>
          <w:szCs w:val="24"/>
        </w:rPr>
      </w:pPr>
    </w:p>
    <w:p w:rsidR="008230C8" w:rsidRDefault="008230C8" w:rsidP="006F5362">
      <w:pPr>
        <w:rPr>
          <w:bCs/>
          <w:sz w:val="24"/>
          <w:szCs w:val="24"/>
        </w:rPr>
      </w:pPr>
    </w:p>
    <w:p w:rsidR="008230C8" w:rsidRDefault="008230C8" w:rsidP="006F5362">
      <w:pPr>
        <w:rPr>
          <w:bCs/>
          <w:sz w:val="24"/>
          <w:szCs w:val="24"/>
        </w:rPr>
      </w:pPr>
    </w:p>
    <w:p w:rsidR="008230C8" w:rsidRPr="008230C8" w:rsidRDefault="008230C8" w:rsidP="006F5362">
      <w:pPr>
        <w:rPr>
          <w:bCs/>
          <w:sz w:val="24"/>
          <w:szCs w:val="24"/>
        </w:rPr>
      </w:pPr>
    </w:p>
    <w:p w:rsidR="006F5362" w:rsidRPr="008230C8" w:rsidRDefault="006F5362" w:rsidP="006F5362">
      <w:pPr>
        <w:rPr>
          <w:bCs/>
          <w:sz w:val="24"/>
          <w:szCs w:val="24"/>
        </w:rPr>
      </w:pPr>
      <w:r w:rsidRPr="008230C8">
        <w:rPr>
          <w:bCs/>
          <w:sz w:val="24"/>
          <w:szCs w:val="24"/>
        </w:rPr>
        <w:t>Личная подпись дата _____________________________________________________ </w:t>
      </w:r>
    </w:p>
    <w:sectPr w:rsidR="006F5362" w:rsidRPr="008230C8" w:rsidSect="008230C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C7362"/>
    <w:multiLevelType w:val="multilevel"/>
    <w:tmpl w:val="9674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52"/>
    <w:rsid w:val="00512E01"/>
    <w:rsid w:val="006F5362"/>
    <w:rsid w:val="007D74F1"/>
    <w:rsid w:val="008230C8"/>
    <w:rsid w:val="008D2489"/>
    <w:rsid w:val="009D480A"/>
    <w:rsid w:val="00B63920"/>
    <w:rsid w:val="00C06952"/>
    <w:rsid w:val="00C13CC2"/>
    <w:rsid w:val="00D37984"/>
    <w:rsid w:val="00DA6969"/>
    <w:rsid w:val="00DF0EA4"/>
    <w:rsid w:val="00E746CF"/>
    <w:rsid w:val="00E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97F6-4F5B-4045-AAD6-2DDD0D2C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52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95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69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069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952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6F5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</dc:creator>
  <cp:keywords/>
  <dc:description/>
  <cp:lastModifiedBy>Елена</cp:lastModifiedBy>
  <cp:revision>2</cp:revision>
  <cp:lastPrinted>2017-07-10T13:13:00Z</cp:lastPrinted>
  <dcterms:created xsi:type="dcterms:W3CDTF">2018-03-19T06:30:00Z</dcterms:created>
  <dcterms:modified xsi:type="dcterms:W3CDTF">2018-03-19T06:30:00Z</dcterms:modified>
</cp:coreProperties>
</file>